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used to calculate Call-Off Charges</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t>
      </w:r>
    </w:p>
    <w:p w:rsidR="00000000" w:rsidDel="00000000" w:rsidP="00000000" w:rsidRDefault="00000000" w:rsidRPr="00000000" w14:paraId="0000000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44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used as the basis for the charges (and are maximums that the Supplier may charge) under each Call Off Contract; and</w:t>
      </w:r>
    </w:p>
    <w:p w:rsidR="00000000" w:rsidDel="00000000" w:rsidP="00000000" w:rsidRDefault="00000000" w:rsidRPr="00000000" w14:paraId="0000000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in accordance with this Schedule.</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calculated in accordance with the terms of the Call Off Contract and in particular in accordance with the terms of the Order Form; </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specifically permitted by the Call Off Contract and in particular shall only be subject to Indexation where specifically stated in the Order Form; and</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impacted by any change to the Framework Prices.</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variation to the Charges payable under a Call Off Contract must be agreed between the Supplier and the Buyer and implemented using the same procedure for altering Framework Prices in accordance with the provisions of this Framework Schedule 3</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calculated</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pricing mechanisms and prices set out in Annex 1 shall be available for use in calculation of Framework Prices in Call Off Contracts.</w:t>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bookmarkStart w:colFirst="0" w:colLast="0" w:name="_heading=h.1fob9te" w:id="2"/>
      <w:bookmarkEnd w:id="2"/>
      <w:r w:rsidDel="00000000" w:rsidR="00000000" w:rsidRPr="00000000">
        <w:rPr>
          <w:rFonts w:ascii="Arial" w:cs="Arial" w:eastAsia="Arial" w:hAnsi="Arial"/>
          <w:b w:val="1"/>
          <w:sz w:val="24"/>
          <w:szCs w:val="24"/>
          <w:rtl w:val="0"/>
        </w:rPr>
        <w:t xml:space="preserve">C</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osts and expenses included in the Framework Prices</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as expressly set out in Paragraph 4 below, or otherwise stated in a Call Off Order Form the Framework Prices shall include all costs and expenses relating to the provision of Deliverables. No further amounts shall be payable in respect of matters such as:</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costs incurred prior to the commencement of any Call Off Contract.</w:t>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the Supplier can ask to change the Framework Prices</w:t>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will be fixed for the first</w:t>
      </w:r>
      <w:r w:rsidDel="00000000" w:rsidR="00000000" w:rsidRPr="00000000">
        <w:rPr>
          <w:rFonts w:ascii="Arial" w:cs="Arial" w:eastAsia="Arial" w:hAnsi="Arial"/>
          <w:sz w:val="24"/>
          <w:szCs w:val="24"/>
          <w:rtl w:val="0"/>
        </w:rPr>
        <w:t xml:space="preserve"> 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years following the Framework Contract Commencement Date (the date of expiry of such period is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this Framework Prices can only be adjusted on each following yearly anniversary (the date of each such anniversary is also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CCS at least three (3) Months' notice in writing prior to a Review Date where it wants to request an increase.  If the Supplier does not give notice in time then it will only be able to request an increase prior to the next Review Date.</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notice requesting an increase shall include:</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of the Framework Prices to be reviewed;</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Framework Price under review, written evidence of the justification for the requested increase including:</w:t>
      </w:r>
    </w:p>
    <w:p w:rsidR="00000000" w:rsidDel="00000000" w:rsidP="00000000" w:rsidRDefault="00000000" w:rsidRPr="00000000" w14:paraId="0000001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a breakdown of the profit and cost components that comprise the relevant Framework Price; </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details of the movement in the different identified cost components of the relevant Framework Price;</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reasons for the movement in the different identified cost components of the relevant Framework Price;</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evidence that the Supplier has attempted to mitigate against the increase in the relevant cost components; and</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evidence that the Supplier’s profit component of the relevant  Framework Price is no greater than that applying to Framework Prices using the same pricing mechanism as at the Contract Commencement Date</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CCS shall consider each request for a price increase.  CCS may grant Approval to an increase at its sole discretion.</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Where CCS approves an increase then it will be implemented from the first (1st) Working Day following the relevant Review Date or such later date as CCS may determine at its sole discretion and Annex 1 shall be updated accordingly.</w:t>
      </w:r>
    </w:p>
    <w:p w:rsidR="00000000" w:rsidDel="00000000" w:rsidP="00000000" w:rsidRDefault="00000000" w:rsidRPr="00000000" w14:paraId="0000001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 events that allow the Supplier to change the Framework Prices</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can also be varied (and Annex 1 will be updated accordingly) due to:</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Specific Change in Law in accordance with Clause 24;</w:t>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in accordance with insurance requirements in Clause 13; </w:t>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benchmarking review in accordance with Call Off Schedule 16 (Benchmarking)</w:t>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from the Supplier, which it can make at any time, to decrease the Framework Prices; and</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both"/>
        <w:rPr>
          <w:rFonts w:ascii="Arial Bold" w:cs="Arial Bold" w:eastAsia="Arial Bold" w:hAnsi="Arial Bold"/>
          <w:b w:val="1"/>
          <w:i w:val="0"/>
          <w:smallCaps w:val="1"/>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27">
      <w:pPr>
        <w:rPr>
          <w:rFonts w:ascii="Arial" w:cs="Arial" w:eastAsia="Arial" w:hAnsi="Arial"/>
          <w:b w:val="1"/>
          <w:sz w:val="36"/>
          <w:szCs w:val="36"/>
        </w:rPr>
      </w:pPr>
      <w:bookmarkStart w:colFirst="0" w:colLast="0" w:name="_heading=h.1t3h5sf" w:id="4"/>
      <w:bookmarkEnd w:id="4"/>
      <w:r w:rsidDel="00000000" w:rsidR="00000000" w:rsidRPr="00000000">
        <w:rPr>
          <w:rFonts w:ascii="Arial" w:cs="Arial" w:eastAsia="Arial" w:hAnsi="Arial"/>
          <w:b w:val="1"/>
          <w:sz w:val="36"/>
          <w:szCs w:val="36"/>
          <w:rtl w:val="0"/>
        </w:rPr>
        <w:t xml:space="preserve">A</w:t>
      </w:r>
      <w:r w:rsidDel="00000000" w:rsidR="00000000" w:rsidRPr="00000000">
        <w:rPr>
          <w:rFonts w:ascii="Arial" w:cs="Arial" w:eastAsia="Arial" w:hAnsi="Arial"/>
          <w:b w:val="1"/>
          <w:sz w:val="36"/>
          <w:szCs w:val="36"/>
          <w:rtl w:val="0"/>
        </w:rPr>
        <w:t xml:space="preserve">nnex 1: Rates and Prices</w:t>
      </w:r>
    </w:p>
    <w:p w:rsidR="00000000" w:rsidDel="00000000" w:rsidP="00000000" w:rsidRDefault="00000000" w:rsidRPr="00000000" w14:paraId="00000028">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Table </w:t>
      </w:r>
      <w:r w:rsidDel="00000000" w:rsidR="00000000" w:rsidRPr="00000000">
        <w:rPr>
          <w:rFonts w:ascii="Arial" w:cs="Arial" w:eastAsia="Arial" w:hAnsi="Arial"/>
          <w:b w:val="1"/>
          <w:sz w:val="24"/>
          <w:szCs w:val="24"/>
          <w:rtl w:val="0"/>
        </w:rPr>
        <w:t xml:space="preserve">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Fixed Prices</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rates below shall not</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subject to variation by way of Indexation</w:t>
      </w:r>
      <w:r w:rsidDel="00000000" w:rsidR="00000000" w:rsidRPr="00000000">
        <w:rPr>
          <w:rtl w:val="0"/>
        </w:rPr>
      </w:r>
    </w:p>
    <w:tbl>
      <w:tblPr>
        <w:tblStyle w:val="Table1"/>
        <w:tblW w:w="9016.0" w:type="dxa"/>
        <w:jc w:val="left"/>
        <w:tblInd w:w="0.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4508"/>
        <w:gridCol w:w="4508"/>
        <w:tblGridChange w:id="0">
          <w:tblGrid>
            <w:gridCol w:w="4508"/>
            <w:gridCol w:w="4508"/>
          </w:tblGrid>
        </w:tblGridChange>
      </w:tblGrid>
      <w:tr>
        <w:trPr>
          <w:cantSplit w:val="0"/>
          <w:tblHeader w:val="0"/>
        </w:trPr>
        <w:tc>
          <w:tcPr>
            <w:shd w:fill="548dd4" w:val="clear"/>
          </w:tcPr>
          <w:p w:rsidR="00000000" w:rsidDel="00000000" w:rsidP="00000000" w:rsidRDefault="00000000" w:rsidRPr="00000000" w14:paraId="0000002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Price</w:t>
            </w:r>
          </w:p>
        </w:tc>
        <w:tc>
          <w:tcPr>
            <w:shd w:fill="548dd4" w:val="clear"/>
          </w:tcPr>
          <w:p w:rsidR="00000000" w:rsidDel="00000000" w:rsidP="00000000" w:rsidRDefault="00000000" w:rsidRPr="00000000" w14:paraId="0000002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Fixed Framework Price (£)</w:t>
            </w:r>
          </w:p>
        </w:tc>
      </w:tr>
      <w:tr>
        <w:trPr>
          <w:cantSplit w:val="0"/>
          <w:tblHeader w:val="0"/>
        </w:trPr>
        <w:tc>
          <w:tcPr/>
          <w:p w:rsidR="00000000" w:rsidDel="00000000" w:rsidP="00000000" w:rsidRDefault="00000000" w:rsidRPr="00000000" w14:paraId="0000002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[e.g. M3]</w:t>
            </w:r>
          </w:p>
        </w:tc>
        <w:tc>
          <w:tcPr>
            <w:shd w:fill="ffffff" w:val="clear"/>
          </w:tcPr>
          <w:p w:rsidR="00000000" w:rsidDel="00000000" w:rsidP="00000000" w:rsidRDefault="00000000" w:rsidRPr="00000000" w14:paraId="0000002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2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[e.g. SC3]</w:t>
            </w:r>
          </w:p>
        </w:tc>
        <w:tc>
          <w:tcPr>
            <w:shd w:fill="ffffff" w:val="clear"/>
          </w:tcPr>
          <w:p w:rsidR="00000000" w:rsidDel="00000000" w:rsidP="00000000" w:rsidRDefault="00000000" w:rsidRPr="00000000" w14:paraId="0000002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30">
      <w:pPr>
        <w:rPr>
          <w:rFonts w:ascii="Arial" w:cs="Arial" w:eastAsia="Arial" w:hAnsi="Arial"/>
          <w:b w:val="1"/>
          <w:smallCaps w:val="1"/>
          <w:sz w:val="24"/>
          <w:szCs w:val="24"/>
        </w:rPr>
      </w:pPr>
      <w:bookmarkStart w:colFirst="0" w:colLast="0" w:name="_heading=h.4d34og8" w:id="5"/>
      <w:bookmarkEnd w:id="5"/>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rPr>
          <w:rFonts w:ascii="Arial" w:cs="Arial" w:eastAsia="Arial" w:hAnsi="Arial"/>
          <w:b w:val="1"/>
          <w:sz w:val="24"/>
          <w:szCs w:val="24"/>
        </w:rPr>
        <w:sectPr>
          <w:headerReference r:id="rId7" w:type="default"/>
          <w:headerReference r:id="rId8" w:type="first"/>
          <w:footerReference r:id="rId9" w:type="default"/>
          <w:footerReference r:id="rId10" w:type="first"/>
          <w:pgSz w:h="16838" w:w="11906" w:orient="portrait"/>
          <w:pgMar w:bottom="1440" w:top="1888" w:left="1440" w:right="1440" w:header="709" w:footer="709"/>
          <w:pgNumType w:start="1"/>
        </w:sectPr>
      </w:pPr>
      <w:r w:rsidDel="00000000" w:rsidR="00000000" w:rsidRPr="00000000">
        <w:rPr>
          <w:rtl w:val="0"/>
        </w:rPr>
      </w:r>
    </w:p>
    <w:p w:rsidR="00000000" w:rsidDel="00000000" w:rsidP="00000000" w:rsidRDefault="00000000" w:rsidRPr="00000000" w14:paraId="00000033">
      <w:pPr>
        <w:rPr>
          <w:rFonts w:ascii="Arial" w:cs="Arial" w:eastAsia="Arial" w:hAnsi="Arial"/>
          <w:b w:val="1"/>
          <w:sz w:val="24"/>
          <w:szCs w:val="24"/>
        </w:rPr>
      </w:pPr>
      <w:r w:rsidDel="00000000" w:rsidR="00000000" w:rsidRPr="00000000">
        <w:rPr>
          <w:rtl w:val="0"/>
        </w:rPr>
      </w:r>
    </w:p>
    <w:sectPr>
      <w:type w:val="nextPage"/>
      <w:pgSz w:h="16838" w:w="11906" w:orient="portrait"/>
      <w:pgMar w:bottom="1440" w:top="1888"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A">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RM6278</w:t>
      <w:tab/>
      <w:t xml:space="preserve">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ind w:left="644"/>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tabs>
        <w:tab w:val="clear" w:pos="0"/>
        <w:tab w:val="left" w:pos="142"/>
      </w:tabs>
      <w:spacing w:before="120"/>
      <w:ind w:left="360"/>
      <w:outlineLvl w:val="9"/>
    </w:pPr>
    <w:rPr>
      <w:rFonts w:ascii="Arial" w:hAnsi="Arial"/>
      <w:caps w:val="0"/>
      <w:sz w:val="24"/>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ascii="Calibri" w:cs="Times New Roman" w:eastAsia="STZhongsong" w:hAnsi="Calibri"/>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ascii="Calibri" w:cs="Arial" w:eastAsia="Times New Roman" w:hAnsi="Calibri"/>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2GuidanceNumbered" w:customStyle="1">
    <w:name w:val="GPS L2 Guidance Numbered"/>
    <w:basedOn w:val="Normal"/>
    <w:link w:val="GPSL2GuidanceNumberedChar"/>
    <w:qFormat w:val="1"/>
    <w:pPr>
      <w:numPr>
        <w:numId w:val="3"/>
      </w:numPr>
      <w:tabs>
        <w:tab w:val="left" w:pos="1418"/>
      </w:tabs>
      <w:adjustRightInd w:val="0"/>
      <w:spacing w:after="120" w:before="120" w:line="240" w:lineRule="auto"/>
      <w:jc w:val="both"/>
    </w:pPr>
    <w:rPr>
      <w:rFonts w:ascii="Calibri" w:cs="Arial" w:eastAsia="Times New Roman" w:hAnsi="Calibri"/>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ascii="Calibri" w:cs="Arial" w:eastAsia="Times New Roman" w:hAnsi="Calibri"/>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rFonts w:ascii="Calibri" w:cs="Calibri" w:eastAsia="Calibri" w:hAnsi="Calibri"/>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tsBhkGMnsyNupqA7bx6NZAyWKw==">AMUW2mUSCGyWvKledeyNr6UembVLhD6xj88CmgiBNVsOVEq+Wyn01dk6KSHCJ17gR+n0+NxoeJ4TsMe76VhiSdiC0xJkX9Eg5FWlxXAROzxVLVwvqRJ9tbOdrqXR21FwgSaFM5olGip/Xo9FVt5g0dQD3mbDTZUb8bR+lyqZSn0JP36SWopARnf3MxcuOmb0GKO3Fcc3BfxI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2018-06-14T15:09:00Z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